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rPr>
          <w:strike/>
        </w:rPr>
        <w:t xml:space="preserve">Using tree-ring records to simultaneously characterize the influence of climate, tree size, and slowly changing environmental drivers on annual tree growth</w:t>
      </w:r>
    </w:p>
    <w:p>
      <w:pPr>
        <w:pStyle w:val="BodyText"/>
      </w:pPr>
      <w:r>
        <w:t xml:space="preserve">Joint effects of climate, tree size, and time on annual tree growth derived using tree-ring records from ten globally distributed forests</w:t>
      </w:r>
      <w:r>
        <w:t xml:space="preserve"> </w:t>
      </w:r>
      <w:r>
        <w:rPr>
          <w:iCs/>
          <w:i/>
        </w:rPr>
        <w:t xml:space="preserve">(??)</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principal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 –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principal climate drivers (pre-selected in an objective manner), tree size, and time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 – with some error –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p>
      <w:pPr>
        <w:pStyle w:val="FirstParagraph"/>
      </w:pPr>
      <w:r>
        <w:rPr>
          <w:iCs/>
          <w:i/>
        </w:rPr>
        <w:t xml:space="preserve">(I broke out a new section on validation of the method, intended to establish credibility of the method without distracting from the ecological results. The rest of the results section can potentially stay essentially as-is, although it may be good to reorder a bit to match the hypothesis table)</w:t>
      </w:r>
    </w:p>
    <w:bookmarkStart w:id="40" w:name="Validation"/>
    <w:p>
      <w:pPr>
        <w:pStyle w:val="Heading2"/>
      </w:pPr>
      <w:r>
        <w:t xml:space="preserve">Validation of the method</w:t>
      </w:r>
    </w:p>
    <w:p>
      <w:pPr>
        <w:pStyle w:val="FirstParagraph"/>
      </w:pPr>
      <w:r>
        <w:t xml:space="preserve">Our process identified similar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Trends with year, when assessed, were consistent with those observed in a separate analysis of</w:t>
      </w:r>
      <w:r>
        <w:t xml:space="preserve"> </w:t>
      </w:r>
      <m:oMath>
        <m:r>
          <m:t>D</m:t>
        </m:r>
        <m:r>
          <m:t>B</m:t>
        </m:r>
        <m:r>
          <m:t>H</m:t>
        </m:r>
      </m:oMath>
      <w: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4), whereas positive interactions were more common in mesic forests (SCBI,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Influence"/>
    <w:p>
      <w:pPr>
        <w:pStyle w:val="Heading2"/>
      </w:pPr>
      <w:r>
        <w:t xml:space="preserve">Influence of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(Figs.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5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dominant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73" w:name="References"/>
    <w:p>
      <w:pPr>
        <w:pStyle w:val="Heading1"/>
      </w:pPr>
      <w:r>
        <w:t xml:space="preserve">References</w:t>
      </w:r>
    </w:p>
    <w:bookmarkStart w:id="272"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49"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49"/>
    <w:bookmarkStart w:id="151"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0">
        <w:r>
          <w:rPr>
            <w:rStyle w:val="Hyperlink"/>
          </w:rPr>
          <w:t xml:space="preserve">https://doi.org/10.2307/1937545</w:t>
        </w:r>
      </w:hyperlink>
    </w:p>
    <w:bookmarkEnd w:id="151"/>
    <w:bookmarkStart w:id="15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2">
        <w:r>
          <w:rPr>
            <w:rStyle w:val="Hyperlink"/>
          </w:rPr>
          <w:t xml:space="preserve">https://doi.org/10.1111/gcb.12955</w:t>
        </w:r>
      </w:hyperlink>
    </w:p>
    <w:bookmarkEnd w:id="153"/>
    <w:bookmarkStart w:id="155"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4">
        <w:r>
          <w:rPr>
            <w:rStyle w:val="Hyperlink"/>
          </w:rPr>
          <w:t xml:space="preserve">https://doi.org/10.1007/s10342-016-0982-7</w:t>
        </w:r>
      </w:hyperlink>
    </w:p>
    <w:bookmarkEnd w:id="155"/>
    <w:bookmarkStart w:id="157"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6">
        <w:r>
          <w:rPr>
            <w:rStyle w:val="Hyperlink"/>
          </w:rPr>
          <w:t xml:space="preserve">https://doi.org/10.1111/gcb.14561</w:t>
        </w:r>
      </w:hyperlink>
    </w:p>
    <w:bookmarkEnd w:id="157"/>
    <w:bookmarkStart w:id="159"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8">
        <w:r>
          <w:rPr>
            <w:rStyle w:val="Hyperlink"/>
          </w:rPr>
          <w:t xml:space="preserve">https://doi.org/10.1002/joc.3711</w:t>
        </w:r>
      </w:hyperlink>
    </w:p>
    <w:bookmarkEnd w:id="159"/>
    <w:bookmarkStart w:id="161"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0">
        <w:r>
          <w:rPr>
            <w:rStyle w:val="Hyperlink"/>
          </w:rPr>
          <w:t xml:space="preserve">https://doi.org/10.1038/s41597-020-0453-3</w:t>
        </w:r>
      </w:hyperlink>
    </w:p>
    <w:bookmarkEnd w:id="161"/>
    <w:bookmarkStart w:id="16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2">
        <w:r>
          <w:rPr>
            <w:rStyle w:val="Hyperlink"/>
          </w:rPr>
          <w:t xml:space="preserve">https://doi.org/10.1111/nph.15906</w:t>
        </w:r>
      </w:hyperlink>
    </w:p>
    <w:bookmarkEnd w:id="163"/>
    <w:bookmarkStart w:id="165"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4">
        <w:r>
          <w:rPr>
            <w:rStyle w:val="Hyperlink"/>
          </w:rPr>
          <w:t xml:space="preserve">https://doi.org/10.1029/2018JG004573</w:t>
        </w:r>
      </w:hyperlink>
    </w:p>
    <w:bookmarkEnd w:id="165"/>
    <w:bookmarkStart w:id="167"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66">
        <w:r>
          <w:rPr>
            <w:rStyle w:val="Hyperlink"/>
          </w:rPr>
          <w:t xml:space="preserve">https://doi.org/10.1088/1748-9326/abd8fb</w:t>
        </w:r>
      </w:hyperlink>
    </w:p>
    <w:bookmarkEnd w:id="167"/>
    <w:bookmarkStart w:id="169"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68">
        <w:r>
          <w:rPr>
            <w:rStyle w:val="Hyperlink"/>
          </w:rPr>
          <w:t xml:space="preserve">https://doi.org/10.1038/s41467-018-07800-y</w:t>
        </w:r>
      </w:hyperlink>
    </w:p>
    <w:bookmarkEnd w:id="169"/>
    <w:bookmarkStart w:id="171"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0">
        <w:r>
          <w:rPr>
            <w:rStyle w:val="Hyperlink"/>
          </w:rPr>
          <w:t xml:space="preserve">https://doi.org/10.1093/treephys/tpaa091</w:t>
        </w:r>
      </w:hyperlink>
    </w:p>
    <w:bookmarkEnd w:id="171"/>
    <w:bookmarkStart w:id="173"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2">
        <w:r>
          <w:rPr>
            <w:rStyle w:val="Hyperlink"/>
          </w:rPr>
          <w:t xml:space="preserve">https://doi.org/10.1111/nph.15668</w:t>
        </w:r>
      </w:hyperlink>
    </w:p>
    <w:bookmarkEnd w:id="173"/>
    <w:bookmarkStart w:id="175"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4">
        <w:r>
          <w:rPr>
            <w:rStyle w:val="Hyperlink"/>
          </w:rPr>
          <w:t xml:space="preserve">https://doi.org/10.1038/srep46158</w:t>
        </w:r>
      </w:hyperlink>
    </w:p>
    <w:bookmarkEnd w:id="175"/>
    <w:bookmarkStart w:id="177"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6">
        <w:r>
          <w:rPr>
            <w:rStyle w:val="Hyperlink"/>
          </w:rPr>
          <w:t xml:space="preserve">https://doi.org/10.1016/j.dendro.2019.125652</w:t>
        </w:r>
      </w:hyperlink>
    </w:p>
    <w:bookmarkEnd w:id="177"/>
    <w:bookmarkStart w:id="17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78">
        <w:r>
          <w:rPr>
            <w:rStyle w:val="Hyperlink"/>
          </w:rPr>
          <w:t xml:space="preserve">https://doi.org/10.1111/gcb.14273</w:t>
        </w:r>
      </w:hyperlink>
    </w:p>
    <w:bookmarkEnd w:id="179"/>
    <w:bookmarkStart w:id="18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0">
        <w:r>
          <w:rPr>
            <w:rStyle w:val="Hyperlink"/>
          </w:rPr>
          <w:t xml:space="preserve">https://doi.org/10.1007/s10584-016-1720-3</w:t>
        </w:r>
      </w:hyperlink>
    </w:p>
    <w:bookmarkEnd w:id="181"/>
    <w:bookmarkStart w:id="18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2">
        <w:r>
          <w:rPr>
            <w:rStyle w:val="Hyperlink"/>
          </w:rPr>
          <w:t xml:space="preserve">https://doi.org/10.1126/science.aaz9463</w:t>
        </w:r>
      </w:hyperlink>
    </w:p>
    <w:bookmarkEnd w:id="183"/>
    <w:bookmarkStart w:id="18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4">
        <w:r>
          <w:rPr>
            <w:rStyle w:val="Hyperlink"/>
          </w:rPr>
          <w:t xml:space="preserve">https://doi.org/10.1111/nph.16996</w:t>
        </w:r>
      </w:hyperlink>
    </w:p>
    <w:bookmarkEnd w:id="185"/>
    <w:bookmarkStart w:id="18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6">
        <w:r>
          <w:rPr>
            <w:rStyle w:val="Hyperlink"/>
          </w:rPr>
          <w:t xml:space="preserve">https://doi.org/10.1111/nph.14633</w:t>
        </w:r>
      </w:hyperlink>
    </w:p>
    <w:bookmarkEnd w:id="187"/>
    <w:bookmarkStart w:id="18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88">
        <w:r>
          <w:rPr>
            <w:rStyle w:val="Hyperlink"/>
          </w:rPr>
          <w:t xml:space="preserve">https://doi.org/10.1016/j.cageo.2011.01.013</w:t>
        </w:r>
      </w:hyperlink>
    </w:p>
    <w:bookmarkEnd w:id="189"/>
    <w:bookmarkStart w:id="19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0"/>
    <w:bookmarkStart w:id="19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1">
        <w:r>
          <w:rPr>
            <w:rStyle w:val="Hyperlink"/>
          </w:rPr>
          <w:t xml:space="preserve">https://doi.org/10.1111/j.1600-0587.2013.00205.x</w:t>
        </w:r>
      </w:hyperlink>
    </w:p>
    <w:bookmarkEnd w:id="192"/>
    <w:bookmarkStart w:id="19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3">
        <w:r>
          <w:rPr>
            <w:rStyle w:val="Hyperlink"/>
          </w:rPr>
          <w:t xml:space="preserve">https://doi.org/10.1111/gcb.12599</w:t>
        </w:r>
      </w:hyperlink>
    </w:p>
    <w:bookmarkEnd w:id="194"/>
    <w:bookmarkStart w:id="196"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5">
        <w:r>
          <w:rPr>
            <w:rStyle w:val="Hyperlink"/>
          </w:rPr>
          <w:t xml:space="preserve">https://doi.org/10.1111/j.1365-2486.2010.02222.x</w:t>
        </w:r>
      </w:hyperlink>
    </w:p>
    <w:bookmarkEnd w:id="196"/>
    <w:bookmarkStart w:id="19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https://doi.org/10.3389/ffgc.2020.00039</w:t>
        </w:r>
      </w:hyperlink>
    </w:p>
    <w:bookmarkEnd w:id="198"/>
    <w:bookmarkStart w:id="20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199">
        <w:r>
          <w:rPr>
            <w:rStyle w:val="Hyperlink"/>
          </w:rPr>
          <w:t xml:space="preserve">https://doi.org/10.1111/ele.13575</w:t>
        </w:r>
      </w:hyperlink>
    </w:p>
    <w:bookmarkEnd w:id="200"/>
    <w:bookmarkStart w:id="20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1">
        <w:r>
          <w:rPr>
            <w:rStyle w:val="Hyperlink"/>
          </w:rPr>
          <w:t xml:space="preserve">https://doi.org/10.1111/gcb.12826</w:t>
        </w:r>
      </w:hyperlink>
    </w:p>
    <w:bookmarkEnd w:id="202"/>
    <w:bookmarkStart w:id="20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3"/>
    <w:bookmarkStart w:id="20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4">
        <w:r>
          <w:rPr>
            <w:rStyle w:val="Hyperlink"/>
          </w:rPr>
          <w:t xml:space="preserve">https://doi.org/10.1186/s40663-018-0139-x</w:t>
        </w:r>
      </w:hyperlink>
    </w:p>
    <w:bookmarkEnd w:id="205"/>
    <w:bookmarkStart w:id="20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6">
        <w:r>
          <w:rPr>
            <w:rStyle w:val="Hyperlink"/>
          </w:rPr>
          <w:t xml:space="preserve">https://doi.org/10.1016/j.dendro.2020.125678</w:t>
        </w:r>
      </w:hyperlink>
    </w:p>
    <w:bookmarkEnd w:id="207"/>
    <w:bookmarkStart w:id="20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08">
        <w:r>
          <w:rPr>
            <w:rStyle w:val="Hyperlink"/>
          </w:rPr>
          <w:t xml:space="preserve">https://doi.org/10.1111/2041-210X.12753</w:t>
        </w:r>
      </w:hyperlink>
    </w:p>
    <w:bookmarkEnd w:id="209"/>
    <w:bookmarkStart w:id="21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0">
        <w:r>
          <w:rPr>
            <w:rStyle w:val="Hyperlink"/>
          </w:rPr>
          <w:t xml:space="preserve">https://doi.org/10.1002/ecy.3264</w:t>
        </w:r>
      </w:hyperlink>
    </w:p>
    <w:bookmarkEnd w:id="211"/>
    <w:bookmarkStart w:id="21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2">
        <w:r>
          <w:rPr>
            <w:rStyle w:val="Hyperlink"/>
          </w:rPr>
          <w:t xml:space="preserve">https://doi.org/10.1111/j.1469-8137.2007.02235.x</w:t>
        </w:r>
      </w:hyperlink>
    </w:p>
    <w:bookmarkEnd w:id="213"/>
    <w:bookmarkStart w:id="21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4">
        <w:r>
          <w:rPr>
            <w:rStyle w:val="Hyperlink"/>
          </w:rPr>
          <w:t xml:space="preserve">https://doi.org/10.1016/j.foreco.2015.08.034</w:t>
        </w:r>
      </w:hyperlink>
    </w:p>
    <w:bookmarkEnd w:id="215"/>
    <w:bookmarkStart w:id="21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6">
        <w:r>
          <w:rPr>
            <w:rStyle w:val="Hyperlink"/>
          </w:rPr>
          <w:t xml:space="preserve">https://doi.org/10.1186/s40663-018-0133-3</w:t>
        </w:r>
      </w:hyperlink>
    </w:p>
    <w:bookmarkEnd w:id="217"/>
    <w:bookmarkStart w:id="219"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18">
        <w:r>
          <w:rPr>
            <w:rStyle w:val="Hyperlink"/>
          </w:rPr>
          <w:t xml:space="preserve">https://doi.org/10.1111/1365-2435.12775</w:t>
        </w:r>
      </w:hyperlink>
    </w:p>
    <w:bookmarkEnd w:id="219"/>
    <w:bookmarkStart w:id="22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0">
        <w:r>
          <w:rPr>
            <w:rStyle w:val="Hyperlink"/>
          </w:rPr>
          <w:t xml:space="preserve">https://doi.org/10.1002/2016JG003528</w:t>
        </w:r>
      </w:hyperlink>
    </w:p>
    <w:bookmarkEnd w:id="221"/>
    <w:bookmarkStart w:id="22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2"/>
    <w:bookmarkStart w:id="22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3">
        <w:r>
          <w:rPr>
            <w:rStyle w:val="Hyperlink"/>
          </w:rPr>
          <w:t xml:space="preserve">https://doi.org/10.1038/nature12914</w:t>
        </w:r>
      </w:hyperlink>
    </w:p>
    <w:bookmarkEnd w:id="224"/>
    <w:bookmarkStart w:id="225"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5"/>
    <w:bookmarkStart w:id="22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6">
        <w:r>
          <w:rPr>
            <w:rStyle w:val="Hyperlink"/>
          </w:rPr>
          <w:t xml:space="preserve">https://doi.org/10.1126/science.aaw7578</w:t>
        </w:r>
      </w:hyperlink>
    </w:p>
    <w:bookmarkEnd w:id="227"/>
    <w:bookmarkStart w:id="229"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28">
        <w:r>
          <w:rPr>
            <w:rStyle w:val="Hyperlink"/>
          </w:rPr>
          <w:t xml:space="preserve">https://doi.org/10.1088/1748-9326/11/11/114007</w:t>
        </w:r>
      </w:hyperlink>
    </w:p>
    <w:bookmarkEnd w:id="229"/>
    <w:bookmarkStart w:id="231"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4">
        <w:r>
          <w:rPr>
            <w:rStyle w:val="Hyperlink"/>
          </w:rPr>
          <w:t xml:space="preserve">https://doi.org/10.1111/gcb.14120</w:t>
        </w:r>
      </w:hyperlink>
    </w:p>
    <w:bookmarkEnd w:id="235"/>
    <w:bookmarkStart w:id="237"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0">
        <w:r>
          <w:rPr>
            <w:rStyle w:val="Hyperlink"/>
          </w:rPr>
          <w:t xml:space="preserve">https://doi.org/10.1111/gcb.15057</w:t>
        </w:r>
      </w:hyperlink>
    </w:p>
    <w:bookmarkEnd w:id="261"/>
    <w:bookmarkStart w:id="263"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2">
        <w:r>
          <w:rPr>
            <w:rStyle w:val="Hyperlink"/>
          </w:rPr>
          <w:t xml:space="preserve">https://doi.org/10.1111/j.1467-9868.2010.00749.x</w:t>
        </w:r>
      </w:hyperlink>
    </w:p>
    <w:bookmarkEnd w:id="263"/>
    <w:bookmarkStart w:id="265"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4">
        <w:r>
          <w:rPr>
            <w:rStyle w:val="Hyperlink"/>
          </w:rPr>
          <w:t xml:space="preserve">https://doi.org/10.1191/095968399667128516</w:t>
        </w:r>
      </w:hyperlink>
    </w:p>
    <w:bookmarkEnd w:id="265"/>
    <w:bookmarkStart w:id="267"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66">
        <w:r>
          <w:rPr>
            <w:rStyle w:val="Hyperlink"/>
          </w:rPr>
          <w:t xml:space="preserve">https://doi.org/10.1016/j.dendro.2012.08.001</w:t>
        </w:r>
      </w:hyperlink>
    </w:p>
    <w:bookmarkEnd w:id="267"/>
    <w:bookmarkStart w:id="269"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68">
        <w:r>
          <w:rPr>
            <w:rStyle w:val="Hyperlink"/>
          </w:rPr>
          <w:t xml:space="preserve">https://doi.org/10.1111/ecog.01335</w:t>
        </w:r>
      </w:hyperlink>
    </w:p>
    <w:bookmarkEnd w:id="269"/>
    <w:bookmarkStart w:id="271"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0">
        <w:r>
          <w:rPr>
            <w:rStyle w:val="Hyperlink"/>
          </w:rPr>
          <w:t xml:space="preserve">https://doi.org/10.1111/gcb.15092</w:t>
        </w:r>
      </w:hyperlink>
    </w:p>
    <w:bookmarkEnd w:id="271"/>
    <w:bookmarkEnd w:id="272"/>
    <w:bookmarkEnd w:id="27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2021-03-13T12:52:36Z</dcterms:created>
  <dcterms:modified xsi:type="dcterms:W3CDTF">2021-03-13T12:52:36Z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